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37740" w:rsidRPr="002C02B9">
        <w:trPr>
          <w:trHeight w:hRule="exact" w:val="1528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37740" w:rsidRPr="002C02B9">
        <w:trPr>
          <w:trHeight w:hRule="exact" w:val="138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7740" w:rsidRPr="002C02B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37740" w:rsidRPr="002C02B9">
        <w:trPr>
          <w:trHeight w:hRule="exact" w:val="211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277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7740">
        <w:trPr>
          <w:trHeight w:hRule="exact" w:val="138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993" w:type="dxa"/>
          </w:tcPr>
          <w:p w:rsidR="00637740" w:rsidRDefault="00637740"/>
        </w:tc>
        <w:tc>
          <w:tcPr>
            <w:tcW w:w="2836" w:type="dxa"/>
          </w:tcPr>
          <w:p w:rsidR="00637740" w:rsidRDefault="00637740"/>
        </w:tc>
      </w:tr>
      <w:tr w:rsidR="00637740" w:rsidRPr="002C02B9">
        <w:trPr>
          <w:trHeight w:hRule="exact" w:val="277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7740" w:rsidRPr="002C02B9">
        <w:trPr>
          <w:trHeight w:hRule="exact" w:val="138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277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7740">
        <w:trPr>
          <w:trHeight w:hRule="exact" w:val="138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993" w:type="dxa"/>
          </w:tcPr>
          <w:p w:rsidR="00637740" w:rsidRDefault="00637740"/>
        </w:tc>
        <w:tc>
          <w:tcPr>
            <w:tcW w:w="2836" w:type="dxa"/>
          </w:tcPr>
          <w:p w:rsidR="00637740" w:rsidRDefault="00637740"/>
        </w:tc>
      </w:tr>
      <w:tr w:rsidR="00637740">
        <w:trPr>
          <w:trHeight w:hRule="exact" w:val="277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7740">
        <w:trPr>
          <w:trHeight w:hRule="exact" w:val="277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993" w:type="dxa"/>
          </w:tcPr>
          <w:p w:rsidR="00637740" w:rsidRDefault="00637740"/>
        </w:tc>
        <w:tc>
          <w:tcPr>
            <w:tcW w:w="2836" w:type="dxa"/>
          </w:tcPr>
          <w:p w:rsidR="00637740" w:rsidRDefault="00637740"/>
        </w:tc>
      </w:tr>
      <w:tr w:rsidR="006377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7740">
        <w:trPr>
          <w:trHeight w:hRule="exact" w:val="1496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профилактики экстремизма и зависимых форм поведения в молодежной среде</w:t>
            </w:r>
          </w:p>
          <w:p w:rsidR="00637740" w:rsidRDefault="002C02B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637740" w:rsidRDefault="00637740"/>
        </w:tc>
      </w:tr>
      <w:tr w:rsidR="006377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7740" w:rsidRPr="002C02B9">
        <w:trPr>
          <w:trHeight w:hRule="exact" w:val="1389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7740" w:rsidRPr="002C02B9">
        <w:trPr>
          <w:trHeight w:hRule="exact" w:val="138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 w:rsidRPr="002C02B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37740" w:rsidRPr="002C02B9">
        <w:trPr>
          <w:trHeight w:hRule="exact" w:val="416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993" w:type="dxa"/>
          </w:tcPr>
          <w:p w:rsidR="00637740" w:rsidRDefault="00637740"/>
        </w:tc>
        <w:tc>
          <w:tcPr>
            <w:tcW w:w="2836" w:type="dxa"/>
          </w:tcPr>
          <w:p w:rsidR="00637740" w:rsidRDefault="00637740"/>
        </w:tc>
      </w:tr>
      <w:tr w:rsidR="00637740">
        <w:trPr>
          <w:trHeight w:hRule="exact" w:val="155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993" w:type="dxa"/>
          </w:tcPr>
          <w:p w:rsidR="00637740" w:rsidRDefault="00637740"/>
        </w:tc>
        <w:tc>
          <w:tcPr>
            <w:tcW w:w="2836" w:type="dxa"/>
          </w:tcPr>
          <w:p w:rsidR="00637740" w:rsidRDefault="00637740"/>
        </w:tc>
      </w:tr>
      <w:tr w:rsidR="006377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7740" w:rsidRPr="002C02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7740" w:rsidRPr="002C02B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 w:rsidRPr="002C02B9">
        <w:trPr>
          <w:trHeight w:hRule="exact" w:val="124"/>
        </w:trPr>
        <w:tc>
          <w:tcPr>
            <w:tcW w:w="14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37740">
        <w:trPr>
          <w:trHeight w:hRule="exact" w:val="26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</w:tr>
      <w:tr w:rsidR="00637740">
        <w:trPr>
          <w:trHeight w:hRule="exact" w:val="1732"/>
        </w:trPr>
        <w:tc>
          <w:tcPr>
            <w:tcW w:w="143" w:type="dxa"/>
          </w:tcPr>
          <w:p w:rsidR="00637740" w:rsidRDefault="00637740"/>
        </w:tc>
        <w:tc>
          <w:tcPr>
            <w:tcW w:w="285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1419" w:type="dxa"/>
          </w:tcPr>
          <w:p w:rsidR="00637740" w:rsidRDefault="00637740"/>
        </w:tc>
        <w:tc>
          <w:tcPr>
            <w:tcW w:w="710" w:type="dxa"/>
          </w:tcPr>
          <w:p w:rsidR="00637740" w:rsidRDefault="00637740"/>
        </w:tc>
        <w:tc>
          <w:tcPr>
            <w:tcW w:w="426" w:type="dxa"/>
          </w:tcPr>
          <w:p w:rsidR="00637740" w:rsidRDefault="00637740"/>
        </w:tc>
        <w:tc>
          <w:tcPr>
            <w:tcW w:w="1277" w:type="dxa"/>
          </w:tcPr>
          <w:p w:rsidR="00637740" w:rsidRDefault="00637740"/>
        </w:tc>
        <w:tc>
          <w:tcPr>
            <w:tcW w:w="993" w:type="dxa"/>
          </w:tcPr>
          <w:p w:rsidR="00637740" w:rsidRDefault="00637740"/>
        </w:tc>
        <w:tc>
          <w:tcPr>
            <w:tcW w:w="2836" w:type="dxa"/>
          </w:tcPr>
          <w:p w:rsidR="00637740" w:rsidRDefault="00637740"/>
        </w:tc>
      </w:tr>
      <w:tr w:rsidR="00637740">
        <w:trPr>
          <w:trHeight w:hRule="exact" w:val="277"/>
        </w:trPr>
        <w:tc>
          <w:tcPr>
            <w:tcW w:w="143" w:type="dxa"/>
          </w:tcPr>
          <w:p w:rsidR="00637740" w:rsidRDefault="006377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7740">
        <w:trPr>
          <w:trHeight w:hRule="exact" w:val="138"/>
        </w:trPr>
        <w:tc>
          <w:tcPr>
            <w:tcW w:w="143" w:type="dxa"/>
          </w:tcPr>
          <w:p w:rsidR="00637740" w:rsidRDefault="006377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</w:tr>
      <w:tr w:rsidR="00637740">
        <w:trPr>
          <w:trHeight w:hRule="exact" w:val="1666"/>
        </w:trPr>
        <w:tc>
          <w:tcPr>
            <w:tcW w:w="143" w:type="dxa"/>
          </w:tcPr>
          <w:p w:rsidR="00637740" w:rsidRDefault="006377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37740" w:rsidRPr="002C02B9" w:rsidRDefault="006377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7740" w:rsidRPr="002C02B9" w:rsidRDefault="006377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7740" w:rsidRDefault="002C0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77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7740" w:rsidRPr="002C02B9" w:rsidRDefault="006377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740" w:rsidRPr="002C02B9" w:rsidRDefault="002C02B9" w:rsidP="002C02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7740" w:rsidRPr="002C02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637740" w:rsidRPr="002C02B9" w:rsidRDefault="002C02B9">
      <w:pPr>
        <w:rPr>
          <w:sz w:val="0"/>
          <w:szCs w:val="0"/>
          <w:lang w:val="ru-RU"/>
        </w:rPr>
      </w:pPr>
      <w:r w:rsidRPr="002C0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7740">
        <w:trPr>
          <w:trHeight w:hRule="exact" w:val="555"/>
        </w:trPr>
        <w:tc>
          <w:tcPr>
            <w:tcW w:w="9640" w:type="dxa"/>
          </w:tcPr>
          <w:p w:rsidR="00637740" w:rsidRDefault="00637740"/>
        </w:tc>
      </w:tr>
      <w:tr w:rsidR="006377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7740" w:rsidRDefault="002C0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 w:rsidRPr="002C0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7740" w:rsidRPr="002C02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профилактики экстремизма и зависимых форм поведения в молодежной среде» в течение 2021/2022 учебного года: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37740" w:rsidRPr="002C02B9" w:rsidRDefault="002C02B9">
      <w:pPr>
        <w:rPr>
          <w:sz w:val="0"/>
          <w:szCs w:val="0"/>
          <w:lang w:val="ru-RU"/>
        </w:rPr>
      </w:pPr>
      <w:r w:rsidRPr="002C0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 w:rsidRPr="002C02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37740" w:rsidRPr="002C02B9">
        <w:trPr>
          <w:trHeight w:hRule="exact" w:val="138"/>
        </w:trPr>
        <w:tc>
          <w:tcPr>
            <w:tcW w:w="964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 w:rsidRPr="002C02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«Правовые основы профилактики экстремизма и зависимых форм поведения в молодежной среде».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7740" w:rsidRPr="002C02B9">
        <w:trPr>
          <w:trHeight w:hRule="exact" w:val="138"/>
        </w:trPr>
        <w:tc>
          <w:tcPr>
            <w:tcW w:w="964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 w:rsidRPr="002C02B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7740" w:rsidRPr="002C0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37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7740" w:rsidRPr="002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37740" w:rsidRPr="002C0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637740" w:rsidRPr="002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37740" w:rsidRPr="002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637740" w:rsidRPr="002C0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37740" w:rsidRPr="002C0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637740" w:rsidRPr="002C02B9">
        <w:trPr>
          <w:trHeight w:hRule="exact" w:val="416"/>
        </w:trPr>
        <w:tc>
          <w:tcPr>
            <w:tcW w:w="964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7740" w:rsidRPr="002C02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«Правовые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37740" w:rsidRPr="002C02B9" w:rsidRDefault="002C02B9">
      <w:pPr>
        <w:rPr>
          <w:sz w:val="0"/>
          <w:szCs w:val="0"/>
          <w:lang w:val="ru-RU"/>
        </w:rPr>
      </w:pPr>
      <w:r w:rsidRPr="002C0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7740" w:rsidRPr="002C02B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77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Default="00637740"/>
        </w:tc>
      </w:tr>
      <w:tr w:rsidR="00637740" w:rsidRPr="002C02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Pr="002C02B9" w:rsidRDefault="002C0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191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637740" w:rsidRDefault="002C02B9">
            <w:pPr>
              <w:spacing w:after="0" w:line="240" w:lineRule="auto"/>
              <w:jc w:val="center"/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Учебная практика (формируемая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жизнедеятельности")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637740" w:rsidRDefault="002C02B9">
            <w:pPr>
              <w:spacing w:after="0" w:line="240" w:lineRule="auto"/>
              <w:jc w:val="center"/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637740" w:rsidRPr="002C02B9" w:rsidRDefault="006377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37740" w:rsidRPr="002C02B9" w:rsidRDefault="006377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637740" w:rsidRPr="002C02B9" w:rsidRDefault="006377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37740" w:rsidRPr="002C02B9" w:rsidRDefault="006377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637740" w:rsidRPr="002C02B9" w:rsidRDefault="006377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37740" w:rsidRPr="002C02B9" w:rsidRDefault="006377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"Теория и практика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637740" w:rsidRPr="002C02B9" w:rsidRDefault="0063774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37740" w:rsidRPr="002C02B9" w:rsidRDefault="002C02B9">
            <w:pPr>
              <w:spacing w:after="0" w:line="240" w:lineRule="auto"/>
              <w:jc w:val="center"/>
              <w:rPr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637740" w:rsidRDefault="002C0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637740" w:rsidRDefault="002C02B9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7740" w:rsidRPr="002C02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Экстремизм и зависимые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77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77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77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77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7740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7740" w:rsidRDefault="002C02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37740" w:rsidRDefault="002C0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 w:rsidRPr="002C02B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7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77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77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</w:tr>
      <w:tr w:rsidR="00637740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/>
        </w:tc>
      </w:tr>
      <w:tr w:rsidR="00637740">
        <w:trPr>
          <w:trHeight w:hRule="exact" w:val="99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настоящее время достаточно чётко проявляются такие сформировавшиеся виды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 экстремизма в молодёжной среде, как негативные социально-политические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экстремистской направленности, целенаправленная деятельность тех или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 экстремистских структур, а также конкретные общественно опасные действия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исполнителей конкретных экстремистских акций.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предположить,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негативное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национальностей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объясняется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отсутствием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реального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конструктивного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этносов,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жизнедеятельность большинства молодёжи протекает в единой культурной среде, где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нивелируются</w:t>
            </w:r>
          </w:p>
          <w:p w:rsidR="00637740" w:rsidRDefault="002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637740" w:rsidRDefault="002C0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определяющими. Отношения с иными этносами, как правило, эпизодические.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характеризуется обычно как приверженность различных субъектов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отношений к крайним с точки зрения общества взглядам и мерам для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определённых целей. В условиях, когда приверженность таких субъектов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крайним взглядам и мерам имеет достаточно широкое распространение, она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сопровождается формированием соответствующих идеологий, доктрин, учений, а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общественных практик. В определённых обстоятельствах – созданием тех или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претворения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установок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намерений.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характеризоваться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устойчивый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феномен,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распространённое общественно опасное социальное явление.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современных условиях экстремистский характер тех или иных идеологий и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 с применением нелегитимного насилия и других крайних мер, а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агитационно-пропагандистской</w:t>
            </w:r>
          </w:p>
          <w:p w:rsidR="00637740" w:rsidRDefault="002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377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7740">
        <w:trPr>
          <w:trHeight w:hRule="exact" w:val="146"/>
        </w:trPr>
        <w:tc>
          <w:tcPr>
            <w:tcW w:w="9640" w:type="dxa"/>
          </w:tcPr>
          <w:p w:rsidR="00637740" w:rsidRDefault="00637740"/>
        </w:tc>
      </w:tr>
      <w:tr w:rsidR="006377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637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7740">
        <w:trPr>
          <w:trHeight w:hRule="exact" w:val="21"/>
        </w:trPr>
        <w:tc>
          <w:tcPr>
            <w:tcW w:w="9640" w:type="dxa"/>
          </w:tcPr>
          <w:p w:rsidR="00637740" w:rsidRDefault="00637740"/>
        </w:tc>
      </w:tr>
      <w:tr w:rsidR="00637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Психологические причины экстремизма. 2. Социальные причины зависимого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Профилактические меры зависимого поведения.</w:t>
            </w:r>
          </w:p>
        </w:tc>
      </w:tr>
    </w:tbl>
    <w:p w:rsidR="00637740" w:rsidRDefault="002C0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7740" w:rsidRPr="002C02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7740" w:rsidRPr="002C02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профилактики экстремизма и зависимых форм поведения в молодежной среде» / Лобжанидзе Галина Ираклиевна. – Омск: Изд-во Омской гуманитарной академии, 0.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7740" w:rsidRPr="002C02B9">
        <w:trPr>
          <w:trHeight w:hRule="exact" w:val="138"/>
        </w:trPr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7740" w:rsidRPr="002C0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hyperlink r:id="rId4" w:history="1">
              <w:r w:rsidR="00135F8C">
                <w:rPr>
                  <w:rStyle w:val="a3"/>
                  <w:lang w:val="ru-RU"/>
                </w:rPr>
                <w:t>http://www.iprbookshop.ru/33860.html</w:t>
              </w:r>
            </w:hyperlink>
            <w:r w:rsidRPr="002C02B9">
              <w:rPr>
                <w:lang w:val="ru-RU"/>
              </w:rPr>
              <w:t xml:space="preserve"> </w:t>
            </w:r>
          </w:p>
        </w:tc>
      </w:tr>
      <w:tr w:rsidR="00637740" w:rsidRPr="002C0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hyperlink r:id="rId5" w:history="1">
              <w:r w:rsidR="00135F8C">
                <w:rPr>
                  <w:rStyle w:val="a3"/>
                  <w:lang w:val="ru-RU"/>
                </w:rPr>
                <w:t>http://www.iprbookshop.ru/33862.html</w:t>
              </w:r>
            </w:hyperlink>
            <w:r w:rsidRPr="002C02B9">
              <w:rPr>
                <w:lang w:val="ru-RU"/>
              </w:rPr>
              <w:t xml:space="preserve"> </w:t>
            </w:r>
          </w:p>
        </w:tc>
      </w:tr>
      <w:tr w:rsidR="00637740">
        <w:trPr>
          <w:trHeight w:hRule="exact" w:val="277"/>
        </w:trPr>
        <w:tc>
          <w:tcPr>
            <w:tcW w:w="285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7740" w:rsidRPr="002C02B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Филанковский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978-5-906-17272-3.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hyperlink r:id="rId6" w:history="1">
              <w:r w:rsidR="00135F8C">
                <w:rPr>
                  <w:rStyle w:val="a3"/>
                  <w:lang w:val="ru-RU"/>
                </w:rPr>
                <w:t>http://www.iprbookshop.ru/33859.html</w:t>
              </w:r>
            </w:hyperlink>
            <w:r w:rsidRPr="002C02B9">
              <w:rPr>
                <w:lang w:val="ru-RU"/>
              </w:rPr>
              <w:t xml:space="preserve"> </w:t>
            </w:r>
          </w:p>
        </w:tc>
      </w:tr>
      <w:tr w:rsidR="00637740" w:rsidRPr="002C02B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 w:rsidRPr="002C0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2C02B9">
              <w:rPr>
                <w:lang w:val="ru-RU"/>
              </w:rPr>
              <w:t xml:space="preserve">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0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02B9">
              <w:rPr>
                <w:lang w:val="ru-RU"/>
              </w:rPr>
              <w:t xml:space="preserve"> </w:t>
            </w:r>
            <w:hyperlink r:id="rId7" w:history="1">
              <w:r w:rsidR="00135F8C">
                <w:rPr>
                  <w:rStyle w:val="a3"/>
                  <w:lang w:val="ru-RU"/>
                </w:rPr>
                <w:t>https://urait.ru/bcode/446879</w:t>
              </w:r>
            </w:hyperlink>
            <w:r w:rsidRPr="002C02B9">
              <w:rPr>
                <w:lang w:val="ru-RU"/>
              </w:rPr>
              <w:t xml:space="preserve"> </w:t>
            </w:r>
          </w:p>
        </w:tc>
      </w:tr>
      <w:tr w:rsidR="00637740" w:rsidRPr="002C0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7740" w:rsidRPr="002C02B9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B0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637740" w:rsidRPr="002C02B9" w:rsidRDefault="002C02B9">
      <w:pPr>
        <w:rPr>
          <w:sz w:val="0"/>
          <w:szCs w:val="0"/>
          <w:lang w:val="ru-RU"/>
        </w:rPr>
      </w:pPr>
      <w:r w:rsidRPr="002C0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 w:rsidRPr="002C02B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13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7740" w:rsidRPr="002C02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7740" w:rsidRPr="002C02B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37740" w:rsidRPr="002C02B9" w:rsidRDefault="002C02B9">
      <w:pPr>
        <w:rPr>
          <w:sz w:val="0"/>
          <w:szCs w:val="0"/>
          <w:lang w:val="ru-RU"/>
        </w:rPr>
      </w:pPr>
      <w:r w:rsidRPr="002C0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 w:rsidRPr="002C02B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7740" w:rsidRPr="002C0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7740" w:rsidRPr="002C0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7740" w:rsidRPr="002C02B9" w:rsidRDefault="006377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7740" w:rsidRDefault="002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7740" w:rsidRDefault="002C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7740" w:rsidRPr="002C02B9" w:rsidRDefault="006377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7740" w:rsidRPr="002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7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35F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B0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7740" w:rsidRPr="002C0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B0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77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Default="002C0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7740" w:rsidRPr="002C02B9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37740" w:rsidRPr="002C02B9" w:rsidRDefault="002C02B9">
      <w:pPr>
        <w:rPr>
          <w:sz w:val="0"/>
          <w:szCs w:val="0"/>
          <w:lang w:val="ru-RU"/>
        </w:rPr>
      </w:pPr>
      <w:r w:rsidRPr="002C0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 w:rsidRPr="002C02B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7740" w:rsidRPr="002C02B9">
        <w:trPr>
          <w:trHeight w:hRule="exact" w:val="277"/>
        </w:trPr>
        <w:tc>
          <w:tcPr>
            <w:tcW w:w="9640" w:type="dxa"/>
          </w:tcPr>
          <w:p w:rsidR="00637740" w:rsidRPr="002C02B9" w:rsidRDefault="00637740">
            <w:pPr>
              <w:rPr>
                <w:lang w:val="ru-RU"/>
              </w:rPr>
            </w:pPr>
          </w:p>
        </w:tc>
      </w:tr>
      <w:tr w:rsidR="00637740" w:rsidRPr="002C0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7740" w:rsidRPr="002C02B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37740" w:rsidRPr="002C02B9" w:rsidRDefault="002C02B9">
      <w:pPr>
        <w:rPr>
          <w:sz w:val="0"/>
          <w:szCs w:val="0"/>
          <w:lang w:val="ru-RU"/>
        </w:rPr>
      </w:pPr>
      <w:r w:rsidRPr="002C0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740" w:rsidRPr="002C02B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B0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7740" w:rsidRPr="002C02B9" w:rsidRDefault="002C0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0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37740" w:rsidRPr="002C02B9" w:rsidRDefault="00637740">
      <w:pPr>
        <w:rPr>
          <w:lang w:val="ru-RU"/>
        </w:rPr>
      </w:pPr>
    </w:p>
    <w:sectPr w:rsidR="00637740" w:rsidRPr="002C02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5F8C"/>
    <w:rsid w:val="001F0BC7"/>
    <w:rsid w:val="002C02B9"/>
    <w:rsid w:val="00637740"/>
    <w:rsid w:val="0070688B"/>
    <w:rsid w:val="007D27FD"/>
    <w:rsid w:val="00CB02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29ED9-7E1C-4583-9114-1E1D4C9C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2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68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5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386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386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5646</Words>
  <Characters>32186</Characters>
  <Application>Microsoft Office Word</Application>
  <DocSecurity>0</DocSecurity>
  <Lines>268</Lines>
  <Paragraphs>75</Paragraphs>
  <ScaleCrop>false</ScaleCrop>
  <Company/>
  <LinksUpToDate>false</LinksUpToDate>
  <CharactersWithSpaces>37757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2021-2022_ФГОС3++2021_Бак-ЗФО-ПО(БЖД)(21)_plx_Правовые основы профилактики экстремизма и зависимых форм поведения в молодежной среде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2022-11-13T08:36:00Z</dcterms:modified>
</cp:coreProperties>
</file>